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5F15" w:rsidRPr="00675F15" w:rsidRDefault="00675F15" w:rsidP="00675F15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75F15">
        <w:rPr>
          <w:rFonts w:ascii="Arial" w:hAnsi="Arial" w:cs="Arial"/>
          <w:b/>
          <w:sz w:val="24"/>
          <w:szCs w:val="24"/>
        </w:rPr>
        <w:t>Опубликовано в периодическом печатном издании «Вестник</w:t>
      </w:r>
    </w:p>
    <w:p w:rsidR="00675F15" w:rsidRPr="00675F15" w:rsidRDefault="00675F15" w:rsidP="00675F15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675F15">
        <w:rPr>
          <w:rFonts w:ascii="Arial" w:hAnsi="Arial" w:cs="Arial"/>
          <w:b/>
          <w:sz w:val="24"/>
          <w:szCs w:val="24"/>
        </w:rPr>
        <w:t>Новороссийского сельсовета» от 21.12.2024 № 7</w:t>
      </w:r>
    </w:p>
    <w:p w:rsidR="00675F15" w:rsidRPr="00675F15" w:rsidRDefault="00675F15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</w:p>
    <w:p w:rsidR="00675F15" w:rsidRPr="00675F15" w:rsidRDefault="00675F15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СОВЕТ ДЕПУТАТОВ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НОВОРОССИЙСКОГО СЕЛЬСОВЕТА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b w:val="0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ЗДВИНСКОГО РАЙОНА НОВОСИБИРСКОЙ ОБЛАСТИ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Шестого созыва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РЕШЕНИЕ № 22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Сорок второй сессии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ConsPlusTitle"/>
        <w:widowControl/>
        <w:rPr>
          <w:rFonts w:ascii="Arial" w:hAnsi="Arial" w:cs="Arial"/>
          <w:color w:val="FF0000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20.12.2024                                                                                        с. Новороссийское</w:t>
      </w: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b w:val="0"/>
          <w:sz w:val="24"/>
          <w:szCs w:val="24"/>
        </w:rPr>
      </w:pPr>
    </w:p>
    <w:p w:rsidR="00A86A6A" w:rsidRPr="00675F15" w:rsidRDefault="00A86A6A" w:rsidP="00A86A6A">
      <w:pPr>
        <w:pStyle w:val="ConsPlusTitle"/>
        <w:widowControl/>
        <w:jc w:val="center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О бюджете Новороссийского сельсовета Здвинского района Новосибирской области </w:t>
      </w:r>
      <w:r w:rsidRPr="00675F15">
        <w:rPr>
          <w:rFonts w:ascii="Arial" w:hAnsi="Arial" w:cs="Arial"/>
          <w:b w:val="0"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>на 2025 год и плановый период 2026 и 2027 годов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 xml:space="preserve">Статья 1. Основные характеристики бюджета муниципального образования </w:t>
      </w:r>
      <w:r w:rsidRPr="00675F15">
        <w:rPr>
          <w:sz w:val="24"/>
          <w:szCs w:val="24"/>
        </w:rPr>
        <w:t xml:space="preserve">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b/>
          <w:sz w:val="24"/>
          <w:szCs w:val="24"/>
        </w:rPr>
        <w:t xml:space="preserve">  на 2025 год и на плановый период 2026 и 2027 годов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1. Утвердить основные характеристики бюджета муниципального образования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sz w:val="24"/>
          <w:szCs w:val="24"/>
        </w:rPr>
        <w:t>(далее – местный бюджет) на 2025 год: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1) прогнозируемый общий объем доходов местного бюджета в сумме 12278,8 тыс. рублей, в том числе объем безвозмездных поступлений в сумме 11250,8 тыс. рублей, из них объем межбюджетных трансфертов, получаемых из других бюджетов бюджетной системы Российской Федерации, в сумме 11250,8 тыс.  рублей, в том числе объем субсидий, субвенций и иных межбюджетных трансфертов, имеющих целевое назначение, в сумме 8597,1 тыс. рублей. 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2) общий объем расходов местного бюджета в сумме 12278,8 тыс.рублей.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3) дефицит (профицит) местного бюджета в сумме 0,00 тыс.рублей.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2. Утвердить основные характеристики местного бюджета на плановый период 2026 и 2027 годов: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1) прогнозируемый общий объем доходов местного бюджета на 2026 год в сумме 3339,3 тыс. рублей, в том числе объем безвозмездных поступлений в сумме 2258,7 тыс. рублей, из них объем межбюджетных трансфертов, получаемых из других бюджетов бюджетной системы Российской Федерации, в сумме 2258,7 тыс. рублей, в том числе объем субсидий, субвенций и иных межбюджетных трансфертов, имеющих целевое назначение, в сумме 217,3 тыс. рублей, и на 2027 год в сумме 3581,1 тыс. рублей, в том числе объем безвозмездных поступлений в сумме 2242,3 тыс. рублей, из них объем межбюджетных трансфертов, получаемых из других бюджетов бюджетной системы Российской Федерации, в сумме 2242,3 тыс.  рублей, в том числе объем субсидий, субвенций и иных межбюджетных трансфертов, имеющих целевое назначение, в сумме 225,1тыс. рублей;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2) общий объем расходов местного бюджета на 2026год в сумме 3339,3 тыс. рублей, в том числе условно утвержденные расходы в сумме 78,1 тыс.рублей, и на 2027  год в сумме 3581,1 тыс.рублей, в том числе условно утвержденные расходы в сумме 167,8 тыс.рублей;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3) дефицит (профицит) местного бюджета на 2026 год в сумме 0,00 тыс. рублей, дефицит (профицит) местного бюджета на 2027 год в сумме 0,00 тыс. рублей.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strike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lastRenderedPageBreak/>
        <w:t xml:space="preserve">Статья 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2025 год и плановый период 2026 и 2027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675F15">
        <w:rPr>
          <w:b/>
          <w:sz w:val="24"/>
          <w:szCs w:val="24"/>
        </w:rPr>
        <w:t>приложения 1</w:t>
      </w:r>
      <w:r w:rsidRPr="00675F15">
        <w:rPr>
          <w:sz w:val="24"/>
          <w:szCs w:val="24"/>
        </w:rPr>
        <w:t xml:space="preserve"> к настоящему Решению. 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>Статья 3. Бюджетные ассигнования местного бюджета на 2025 год и на плановый период 2026 и 2027 годов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1. Установить в пределах общего объема расходов, установленного </w:t>
      </w:r>
      <w:hyperlink w:anchor="P12" w:history="1">
        <w:r w:rsidRPr="00675F15">
          <w:rPr>
            <w:sz w:val="24"/>
            <w:szCs w:val="24"/>
          </w:rPr>
          <w:t>статьей 1</w:t>
        </w:r>
      </w:hyperlink>
      <w:r w:rsidRPr="00675F15">
        <w:rPr>
          <w:sz w:val="24"/>
          <w:szCs w:val="24"/>
        </w:rPr>
        <w:t xml:space="preserve"> настоящего Решения, распределение бюджетных ассигнований: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1) 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квалификации расходов бюджетов на очередной финансовый 2025 год и плановый период 2026 и 2027 годов согласно </w:t>
      </w:r>
      <w:r w:rsidRPr="00675F15">
        <w:rPr>
          <w:b/>
          <w:sz w:val="24"/>
          <w:szCs w:val="24"/>
        </w:rPr>
        <w:t>приложению 2</w:t>
      </w:r>
      <w:r w:rsidRPr="00675F15">
        <w:rPr>
          <w:sz w:val="24"/>
          <w:szCs w:val="24"/>
        </w:rPr>
        <w:t xml:space="preserve"> к настоящему Решению;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2) по целевым статьям (муниципальным программам и непрограммным направлениям деятельности), группам и подгруппам видов расходов классификации  расходов бюджета поселения  на очередной финансовый  2025 год и плановый период 2026 и 2027 годов согласно </w:t>
      </w:r>
      <w:r w:rsidRPr="00675F15">
        <w:rPr>
          <w:b/>
          <w:sz w:val="24"/>
          <w:szCs w:val="24"/>
        </w:rPr>
        <w:t>приложению 3</w:t>
      </w:r>
      <w:r w:rsidRPr="00675F15">
        <w:rPr>
          <w:sz w:val="24"/>
          <w:szCs w:val="24"/>
        </w:rPr>
        <w:t xml:space="preserve"> к настоящему Решению.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2. Утвердить ведомственную структуру расходов бюджета поселения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sz w:val="24"/>
          <w:szCs w:val="24"/>
        </w:rPr>
        <w:t xml:space="preserve">на очередной финансовый  2025  год и плановый период 2026 и  2027 годов по главным распорядителям бюджетных средств, разделам, подразделам, целевым статьям(муниципальным программам и непрограммным направлениям деятельности), группам и подгруппам видов расходов классификации расходов бюджетов согласно </w:t>
      </w:r>
      <w:r w:rsidRPr="00675F15">
        <w:rPr>
          <w:b/>
          <w:sz w:val="24"/>
          <w:szCs w:val="24"/>
        </w:rPr>
        <w:t>приложению 4</w:t>
      </w:r>
      <w:r w:rsidRPr="00675F15">
        <w:rPr>
          <w:sz w:val="24"/>
          <w:szCs w:val="24"/>
        </w:rPr>
        <w:t xml:space="preserve"> к настоящему Решению.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3. Установить размер резервного фонда Администрации муниципального образования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sz w:val="24"/>
          <w:szCs w:val="24"/>
        </w:rPr>
        <w:t>на 2025 год в сумме 0,00 тыс. рублей, на 2026 год в сумме 0,00 тыс. рублей, на 2027 год в сумме 0,00 тыс. рублей.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4. Установить общий объем бюджетных ассигнований, направленных на исполнение публичных нормативных обязательств, на 2025 год в сумме 244,1 тыс. рублей, на 2026 год в сумме 244,1 тыс. рублей и на 2027 год в сумме 244,1 тыс. рублей.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5. Утвердить распределение бюджетных ассигнований на исполнение публичных нормативных обязательств на очередной финансовый 2025  год и плановый период 2026 и 2027 годов  согласно</w:t>
      </w:r>
      <w:hyperlink r:id="rId6" w:history="1"/>
      <w:r w:rsidRPr="00675F15">
        <w:rPr>
          <w:sz w:val="24"/>
          <w:szCs w:val="24"/>
        </w:rPr>
        <w:t xml:space="preserve"> </w:t>
      </w:r>
      <w:r w:rsidRPr="00675F15">
        <w:rPr>
          <w:b/>
          <w:sz w:val="24"/>
          <w:szCs w:val="24"/>
        </w:rPr>
        <w:t>приложению 5</w:t>
      </w:r>
      <w:r w:rsidRPr="00675F15">
        <w:rPr>
          <w:sz w:val="24"/>
          <w:szCs w:val="24"/>
        </w:rPr>
        <w:t xml:space="preserve"> к настоящему Решению.</w:t>
      </w:r>
    </w:p>
    <w:p w:rsidR="00A86A6A" w:rsidRPr="00675F15" w:rsidRDefault="00A86A6A" w:rsidP="00A86A6A">
      <w:pPr>
        <w:pStyle w:val="ConsPlusNormal"/>
        <w:ind w:firstLine="709"/>
        <w:contextualSpacing/>
        <w:jc w:val="both"/>
        <w:rPr>
          <w:bCs/>
          <w:iCs/>
          <w:sz w:val="24"/>
          <w:szCs w:val="24"/>
        </w:rPr>
      </w:pPr>
      <w:r w:rsidRPr="00675F15">
        <w:rPr>
          <w:sz w:val="24"/>
          <w:szCs w:val="24"/>
        </w:rPr>
        <w:t>6. </w:t>
      </w:r>
      <w:r w:rsidRPr="00675F15">
        <w:rPr>
          <w:bCs/>
          <w:iCs/>
          <w:sz w:val="24"/>
          <w:szCs w:val="24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2025 год и на плановый период 2026 и 2027 годов по соответствующим целевым статьям и виду расходов согласно </w:t>
      </w:r>
      <w:hyperlink r:id="rId7" w:history="1">
        <w:r w:rsidRPr="00675F15">
          <w:rPr>
            <w:b/>
            <w:bCs/>
            <w:iCs/>
            <w:sz w:val="24"/>
            <w:szCs w:val="24"/>
          </w:rPr>
          <w:t xml:space="preserve">приложению </w:t>
        </w:r>
      </w:hyperlink>
      <w:r w:rsidRPr="00675F15">
        <w:rPr>
          <w:b/>
          <w:bCs/>
          <w:iCs/>
          <w:sz w:val="24"/>
          <w:szCs w:val="24"/>
        </w:rPr>
        <w:t>4</w:t>
      </w:r>
      <w:r w:rsidRPr="00675F15">
        <w:rPr>
          <w:bCs/>
          <w:iCs/>
          <w:sz w:val="24"/>
          <w:szCs w:val="24"/>
        </w:rPr>
        <w:t xml:space="preserve"> к настоящему Решению, в порядке, </w:t>
      </w:r>
      <w:r w:rsidRPr="00675F15">
        <w:rPr>
          <w:sz w:val="24"/>
          <w:szCs w:val="24"/>
        </w:rPr>
        <w:t xml:space="preserve">установленном администрацией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lastRenderedPageBreak/>
        <w:t>Статья 4. Особенности заключения и оплаты договоров (муниципальных контрактов)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1. Установить, что органы местного самоуправления, муниципальные учреждения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1) в размере до 100 процентов включительно цены договора (контракта) - по договорам (контрактам):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а) о предоставлении услуг связи, услуг проживания в гостиницах;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б) о подписке на периодические издания и об их приобретении;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в) на получение дополнительного профессионального образования;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д) страхования;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е) подлежащим оплате за счет средств, полученных от иной приносящей доход деятельности;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ж) аренды;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и) об оплате нотариальных действий и иных услуг, оказываемых при осуществлении нотариальных действий;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л) об оказании медицинских услуг по проведению исследований (тестирований) на выявление коронавирусной инфекции и (или) определению антител к ней;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м) об осуществлении технологического присоединения к электрическим сетям.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2) в размере до 100 процентов включительно цены договора (контракта) – по распоряжению администрации муниципального образования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>;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3) в размере до 20 процентов включительно цены договора (контракта), если иное не предусмотрено федеральным законодательством Российской Федерации, - по договорам (контрактам), не указанным в пунктах 1 и 2 настоящей статьи.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>Статья 5. Иные межбюджетные трансферты, предоставляемые из бюджета Новороссийского сельсовета Здвинского района Новосибирской области</w:t>
      </w:r>
      <w:r w:rsidRPr="00675F15">
        <w:rPr>
          <w:sz w:val="24"/>
          <w:szCs w:val="24"/>
        </w:rPr>
        <w:t xml:space="preserve"> </w:t>
      </w:r>
      <w:r w:rsidRPr="00675F15">
        <w:rPr>
          <w:b/>
          <w:i/>
          <w:sz w:val="24"/>
          <w:szCs w:val="24"/>
        </w:rPr>
        <w:t xml:space="preserve"> 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 xml:space="preserve"> 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1. Утвердить распределение иных межбюджетных трансфертов из бюджета поселения в бюджет других бюджетов бюджетной системы Российской Федерации на очередной финансовый 2025 год в сумме 27,0 тыс. рублей</w:t>
      </w:r>
      <w:r w:rsidRPr="00675F15">
        <w:rPr>
          <w:rFonts w:ascii="Arial" w:hAnsi="Arial" w:cs="Arial"/>
          <w:color w:val="000000"/>
          <w:sz w:val="24"/>
          <w:szCs w:val="24"/>
        </w:rPr>
        <w:t>,</w:t>
      </w:r>
      <w:r w:rsidRPr="00675F15">
        <w:rPr>
          <w:rFonts w:ascii="Arial" w:hAnsi="Arial" w:cs="Arial"/>
          <w:sz w:val="24"/>
          <w:szCs w:val="24"/>
        </w:rPr>
        <w:t xml:space="preserve"> и плановый период  2026 год в сумме 27,0 тыс.</w:t>
      </w:r>
      <w:r w:rsidRPr="00675F15">
        <w:rPr>
          <w:rFonts w:ascii="Arial" w:hAnsi="Arial" w:cs="Arial"/>
          <w:color w:val="000000"/>
          <w:sz w:val="24"/>
          <w:szCs w:val="24"/>
        </w:rPr>
        <w:t xml:space="preserve"> рублей</w:t>
      </w:r>
      <w:r w:rsidRPr="00675F15">
        <w:rPr>
          <w:rFonts w:ascii="Arial" w:hAnsi="Arial" w:cs="Arial"/>
          <w:sz w:val="24"/>
          <w:szCs w:val="24"/>
        </w:rPr>
        <w:t>, 2027 год в сумме 27,0 тыс</w:t>
      </w:r>
      <w:r w:rsidRPr="00675F15">
        <w:rPr>
          <w:rFonts w:ascii="Arial" w:hAnsi="Arial" w:cs="Arial"/>
          <w:b/>
          <w:sz w:val="24"/>
          <w:szCs w:val="24"/>
        </w:rPr>
        <w:t>.</w:t>
      </w:r>
      <w:r w:rsidRPr="00675F15">
        <w:rPr>
          <w:rFonts w:ascii="Arial" w:hAnsi="Arial" w:cs="Arial"/>
          <w:color w:val="000000"/>
          <w:sz w:val="24"/>
          <w:szCs w:val="24"/>
        </w:rPr>
        <w:t xml:space="preserve">рублей, </w:t>
      </w:r>
      <w:r w:rsidRPr="00675F15">
        <w:rPr>
          <w:rFonts w:ascii="Arial" w:hAnsi="Arial" w:cs="Arial"/>
          <w:sz w:val="24"/>
          <w:szCs w:val="24"/>
        </w:rPr>
        <w:t xml:space="preserve">согласно </w:t>
      </w:r>
      <w:r w:rsidRPr="00675F15">
        <w:rPr>
          <w:rFonts w:ascii="Arial" w:hAnsi="Arial" w:cs="Arial"/>
          <w:b/>
          <w:sz w:val="24"/>
          <w:szCs w:val="24"/>
        </w:rPr>
        <w:t xml:space="preserve">Приложению 6 </w:t>
      </w:r>
      <w:r w:rsidRPr="00675F15">
        <w:rPr>
          <w:rFonts w:ascii="Arial" w:hAnsi="Arial" w:cs="Arial"/>
          <w:sz w:val="24"/>
          <w:szCs w:val="24"/>
        </w:rPr>
        <w:t>к настоящему Решению.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 xml:space="preserve">Статья 6. Дорожный фонд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eastAsia="Times New Roman" w:hAnsi="Arial" w:cs="Arial"/>
          <w:sz w:val="24"/>
          <w:szCs w:val="24"/>
        </w:rPr>
        <w:t>1. </w:t>
      </w:r>
      <w:r w:rsidRPr="00675F15">
        <w:rPr>
          <w:rFonts w:ascii="Arial" w:hAnsi="Arial" w:cs="Arial"/>
          <w:sz w:val="24"/>
          <w:szCs w:val="24"/>
        </w:rPr>
        <w:t xml:space="preserve">Утвердить объем бюджетных ассигнований дорожного фонда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>: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>1) на 2025 год в сумме 570,0 тыс. рублей;</w:t>
      </w: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color w:val="000000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2) на 2026 год в сумме 593,0 тыс. рублей, на 2027 год в сумме 818,0 тыс. </w:t>
      </w:r>
      <w:r w:rsidRPr="00675F15">
        <w:rPr>
          <w:rFonts w:ascii="Arial" w:hAnsi="Arial" w:cs="Arial"/>
          <w:color w:val="000000"/>
          <w:sz w:val="24"/>
          <w:szCs w:val="24"/>
        </w:rPr>
        <w:t>рублей.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sz w:val="24"/>
          <w:szCs w:val="24"/>
        </w:rPr>
      </w:pPr>
      <w:r w:rsidRPr="00675F15">
        <w:rPr>
          <w:sz w:val="24"/>
          <w:szCs w:val="24"/>
        </w:rPr>
        <w:tab/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>Статья 7. Источники финансирования дефицита бюджета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Установить источники финансирования дефицита  бюджета поселения на  очередной финансовый 2025 год и плановый период 2026 и 2027 годов согласно </w:t>
      </w:r>
      <w:r w:rsidRPr="00675F15">
        <w:rPr>
          <w:rFonts w:ascii="Arial" w:hAnsi="Arial" w:cs="Arial"/>
          <w:b/>
          <w:sz w:val="24"/>
          <w:szCs w:val="24"/>
        </w:rPr>
        <w:t>Приложению 7</w:t>
      </w:r>
      <w:r w:rsidRPr="00675F15">
        <w:rPr>
          <w:rFonts w:ascii="Arial" w:hAnsi="Arial" w:cs="Arial"/>
          <w:sz w:val="24"/>
          <w:szCs w:val="24"/>
        </w:rPr>
        <w:t xml:space="preserve"> к настоящему Решению.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 xml:space="preserve">Статья 8. Муниципальные внутренние заимствования </w:t>
      </w: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1. Утвердить программу муниципальных внутренних заимствований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>на  очередной финансовый 2025 год и плановый период 2026 и 2027 годов согласно</w:t>
      </w:r>
      <w:r w:rsidRPr="00675F15">
        <w:rPr>
          <w:rFonts w:ascii="Arial" w:hAnsi="Arial" w:cs="Arial"/>
          <w:b/>
          <w:sz w:val="24"/>
          <w:szCs w:val="24"/>
        </w:rPr>
        <w:t xml:space="preserve"> Приложению 8</w:t>
      </w:r>
      <w:r w:rsidRPr="00675F15">
        <w:rPr>
          <w:rFonts w:ascii="Arial" w:hAnsi="Arial" w:cs="Arial"/>
          <w:sz w:val="24"/>
          <w:szCs w:val="24"/>
        </w:rPr>
        <w:t xml:space="preserve"> к настоящему Решению.</w:t>
      </w:r>
    </w:p>
    <w:p w:rsidR="00A86A6A" w:rsidRPr="00675F15" w:rsidRDefault="00A86A6A" w:rsidP="00A86A6A">
      <w:pPr>
        <w:pStyle w:val="ConsPlusNormal"/>
        <w:ind w:firstLine="540"/>
        <w:jc w:val="both"/>
        <w:rPr>
          <w:bCs/>
          <w:sz w:val="24"/>
          <w:szCs w:val="24"/>
        </w:rPr>
      </w:pPr>
      <w:r w:rsidRPr="00675F15">
        <w:rPr>
          <w:bCs/>
          <w:sz w:val="24"/>
          <w:szCs w:val="24"/>
        </w:rPr>
        <w:t xml:space="preserve">2. Предоставить право администрации </w:t>
      </w:r>
      <w:r w:rsidRPr="00675F15">
        <w:rPr>
          <w:sz w:val="24"/>
          <w:szCs w:val="24"/>
        </w:rPr>
        <w:t xml:space="preserve">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bCs/>
          <w:sz w:val="24"/>
          <w:szCs w:val="24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8" w:history="1">
        <w:r w:rsidRPr="00675F15">
          <w:rPr>
            <w:bCs/>
            <w:sz w:val="24"/>
            <w:szCs w:val="24"/>
          </w:rPr>
          <w:t>пунктом 2 статьи 93.6</w:t>
        </w:r>
      </w:hyperlink>
      <w:r w:rsidRPr="00675F15">
        <w:rPr>
          <w:bCs/>
          <w:sz w:val="24"/>
          <w:szCs w:val="24"/>
        </w:rPr>
        <w:t xml:space="preserve"> Бюджетного кодекса Российской Федерации.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 xml:space="preserve">Статья 9. Предоставление муниципальных гарантий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b/>
          <w:sz w:val="24"/>
          <w:szCs w:val="24"/>
        </w:rPr>
        <w:t>в валюте Российской Федерации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Утвердить программу муниципальных гарантий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 xml:space="preserve">в валюте Российской Федерации на 2025 год и плановый период 2026 и 2027 годов согласно </w:t>
      </w:r>
      <w:r w:rsidRPr="00675F15">
        <w:rPr>
          <w:rFonts w:ascii="Arial" w:hAnsi="Arial" w:cs="Arial"/>
          <w:b/>
          <w:sz w:val="24"/>
          <w:szCs w:val="24"/>
        </w:rPr>
        <w:t>Приложению 9 к</w:t>
      </w:r>
      <w:r w:rsidRPr="00675F15">
        <w:rPr>
          <w:rFonts w:ascii="Arial" w:hAnsi="Arial" w:cs="Arial"/>
          <w:sz w:val="24"/>
          <w:szCs w:val="24"/>
        </w:rPr>
        <w:t xml:space="preserve"> настоящему Решению.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 xml:space="preserve">Статья 10. Муниципальный внутренний долг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b/>
          <w:sz w:val="24"/>
          <w:szCs w:val="24"/>
        </w:rPr>
        <w:t>и расходы на его обслуживание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75F15">
        <w:rPr>
          <w:rFonts w:ascii="Arial" w:hAnsi="Arial" w:cs="Arial"/>
          <w:sz w:val="24"/>
          <w:szCs w:val="24"/>
        </w:rPr>
        <w:t xml:space="preserve">Установить верхний предел муниципального внутреннего долга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 xml:space="preserve">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 xml:space="preserve">на 1 января 2026 года в сумме 0,00 тыс. рублей, в том числе верхний предел долга по муниципальным гарантиям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 xml:space="preserve">в сумме 0,00 тыс. рублей, на 1 января 2027 года в сумме 0,00 тыс. рублей, в том числе верхний предел долга по муниципальным гарантиям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 xml:space="preserve">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 xml:space="preserve">в сумме 0,00 тыс. рублей, и на 1 января 2028 года в сумме 0,00 тыс. рублей, в том числе верхний предел долга по муниципальным гарантиям Новороссийского сельсовета Здвинского района Новосибирской области </w:t>
      </w:r>
      <w:r w:rsidRPr="00675F15">
        <w:rPr>
          <w:rFonts w:ascii="Arial" w:hAnsi="Arial" w:cs="Arial"/>
          <w:b/>
          <w:i/>
          <w:sz w:val="24"/>
          <w:szCs w:val="24"/>
        </w:rPr>
        <w:t xml:space="preserve"> </w:t>
      </w:r>
      <w:r w:rsidRPr="00675F15">
        <w:rPr>
          <w:rFonts w:ascii="Arial" w:hAnsi="Arial" w:cs="Arial"/>
          <w:sz w:val="24"/>
          <w:szCs w:val="24"/>
        </w:rPr>
        <w:t>в сумме 0,00 тыс.рублей.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>Статья 11. Особенности использования остатков средств местного бюджета на начало текущего финансового года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1. 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sz w:val="24"/>
          <w:szCs w:val="24"/>
        </w:rPr>
        <w:t xml:space="preserve"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</w:t>
      </w:r>
      <w:r w:rsidRPr="00675F15">
        <w:rPr>
          <w:sz w:val="24"/>
          <w:szCs w:val="24"/>
        </w:rPr>
        <w:lastRenderedPageBreak/>
        <w:t>муниципальных контрактов на поставку товаров, выполнение работ, оказание услуг не предусмотрены настоящим Решением.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>Статья 12. Особенности исполнения местного бюджета в 2025 году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1. 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2) 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3) 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4)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5) 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6) увеличение (уменьшение)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7) увеличение (уменьшение)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8) 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</w:t>
      </w:r>
      <w:r w:rsidRPr="00675F15">
        <w:rPr>
          <w:sz w:val="24"/>
          <w:szCs w:val="24"/>
        </w:rPr>
        <w:lastRenderedPageBreak/>
        <w:t>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9) 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10)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11) 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12) 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проекта;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 xml:space="preserve">13)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sz w:val="24"/>
          <w:szCs w:val="24"/>
        </w:rPr>
        <w:t xml:space="preserve">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Новороссийского сельсовета Здвинского района Новосибирской области </w:t>
      </w:r>
      <w:r w:rsidRPr="00675F15">
        <w:rPr>
          <w:b/>
          <w:i/>
          <w:sz w:val="24"/>
          <w:szCs w:val="24"/>
        </w:rPr>
        <w:t xml:space="preserve"> </w:t>
      </w:r>
      <w:r w:rsidRPr="00675F15">
        <w:rPr>
          <w:sz w:val="24"/>
          <w:szCs w:val="24"/>
        </w:rPr>
        <w:t>.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outlineLvl w:val="0"/>
        <w:rPr>
          <w:b/>
          <w:sz w:val="24"/>
          <w:szCs w:val="24"/>
        </w:rPr>
      </w:pPr>
      <w:r w:rsidRPr="00675F15">
        <w:rPr>
          <w:b/>
          <w:sz w:val="24"/>
          <w:szCs w:val="24"/>
        </w:rPr>
        <w:t>Статья 13. Вступление в силу настоящего Решения</w:t>
      </w: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</w:p>
    <w:p w:rsidR="00A86A6A" w:rsidRPr="00675F15" w:rsidRDefault="00A86A6A" w:rsidP="00A86A6A">
      <w:pPr>
        <w:pStyle w:val="ConsPlusNormal"/>
        <w:ind w:firstLine="709"/>
        <w:jc w:val="both"/>
        <w:rPr>
          <w:sz w:val="24"/>
          <w:szCs w:val="24"/>
        </w:rPr>
      </w:pPr>
      <w:r w:rsidRPr="00675F15">
        <w:rPr>
          <w:sz w:val="24"/>
          <w:szCs w:val="24"/>
        </w:rPr>
        <w:t>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порядке.</w:t>
      </w:r>
    </w:p>
    <w:p w:rsidR="00A86A6A" w:rsidRPr="00675F15" w:rsidRDefault="00A86A6A" w:rsidP="00A86A6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A86A6A" w:rsidRPr="00675F15" w:rsidRDefault="00A86A6A" w:rsidP="00A86A6A">
      <w:pPr>
        <w:pStyle w:val="2"/>
        <w:widowControl w:val="0"/>
        <w:ind w:firstLine="0"/>
        <w:rPr>
          <w:rFonts w:ascii="Arial" w:hAnsi="Arial" w:cs="Arial"/>
          <w:bCs/>
        </w:rPr>
      </w:pPr>
      <w:r w:rsidRPr="00675F15">
        <w:rPr>
          <w:rFonts w:ascii="Arial" w:hAnsi="Arial" w:cs="Arial"/>
          <w:bCs/>
        </w:rPr>
        <w:t xml:space="preserve">Глава </w:t>
      </w:r>
      <w:r w:rsidRPr="00675F15">
        <w:rPr>
          <w:rFonts w:ascii="Arial" w:hAnsi="Arial" w:cs="Arial"/>
        </w:rPr>
        <w:t>муниципального</w:t>
      </w:r>
      <w:r w:rsidRPr="00675F15">
        <w:rPr>
          <w:rFonts w:ascii="Arial" w:hAnsi="Arial" w:cs="Arial"/>
          <w:bCs/>
        </w:rPr>
        <w:t xml:space="preserve"> образования </w:t>
      </w:r>
    </w:p>
    <w:p w:rsidR="00A86A6A" w:rsidRPr="00675F15" w:rsidRDefault="00A86A6A" w:rsidP="00A86A6A">
      <w:pPr>
        <w:pStyle w:val="2"/>
        <w:widowControl w:val="0"/>
        <w:ind w:firstLine="0"/>
        <w:rPr>
          <w:rFonts w:ascii="Arial" w:hAnsi="Arial" w:cs="Arial"/>
        </w:rPr>
      </w:pPr>
      <w:r w:rsidRPr="00675F15">
        <w:rPr>
          <w:rFonts w:ascii="Arial" w:hAnsi="Arial" w:cs="Arial"/>
        </w:rPr>
        <w:t>Новороссийского сельсовета Здвинского района</w:t>
      </w:r>
    </w:p>
    <w:p w:rsidR="00A86A6A" w:rsidRPr="00675F15" w:rsidRDefault="00A86A6A" w:rsidP="00A86A6A">
      <w:pPr>
        <w:pStyle w:val="2"/>
        <w:widowControl w:val="0"/>
        <w:ind w:firstLine="0"/>
        <w:rPr>
          <w:rFonts w:ascii="Arial" w:hAnsi="Arial" w:cs="Arial"/>
          <w:bCs/>
        </w:rPr>
      </w:pPr>
      <w:r w:rsidRPr="00675F15">
        <w:rPr>
          <w:rFonts w:ascii="Arial" w:hAnsi="Arial" w:cs="Arial"/>
        </w:rPr>
        <w:t xml:space="preserve"> Новосибирской области </w:t>
      </w:r>
      <w:r w:rsidRPr="00675F15">
        <w:rPr>
          <w:rFonts w:ascii="Arial" w:hAnsi="Arial" w:cs="Arial"/>
          <w:b/>
          <w:i/>
        </w:rPr>
        <w:t xml:space="preserve">  </w:t>
      </w:r>
      <w:r w:rsidRPr="00675F15">
        <w:rPr>
          <w:rFonts w:ascii="Arial" w:hAnsi="Arial" w:cs="Arial"/>
          <w:bCs/>
        </w:rPr>
        <w:t xml:space="preserve">                                                  О.А. Бабинцев</w:t>
      </w:r>
    </w:p>
    <w:p w:rsidR="00A86A6A" w:rsidRPr="00675F15" w:rsidRDefault="00A86A6A" w:rsidP="00A86A6A">
      <w:pPr>
        <w:pStyle w:val="2"/>
        <w:widowControl w:val="0"/>
        <w:ind w:firstLine="0"/>
        <w:rPr>
          <w:rFonts w:ascii="Arial" w:hAnsi="Arial" w:cs="Arial"/>
          <w:bCs/>
        </w:rPr>
      </w:pPr>
    </w:p>
    <w:p w:rsidR="00A86A6A" w:rsidRPr="00675F15" w:rsidRDefault="00A86A6A" w:rsidP="00A86A6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675F15">
        <w:rPr>
          <w:rFonts w:ascii="Arial" w:eastAsia="Times New Roman" w:hAnsi="Arial" w:cs="Arial"/>
          <w:sz w:val="24"/>
          <w:szCs w:val="24"/>
        </w:rPr>
        <w:t>И.о председателя Совета депутатов</w:t>
      </w:r>
    </w:p>
    <w:p w:rsidR="00A86A6A" w:rsidRPr="00675F15" w:rsidRDefault="00A86A6A" w:rsidP="00A86A6A">
      <w:pPr>
        <w:pStyle w:val="2"/>
        <w:widowControl w:val="0"/>
        <w:ind w:firstLine="0"/>
        <w:rPr>
          <w:rFonts w:ascii="Arial" w:hAnsi="Arial" w:cs="Arial"/>
        </w:rPr>
      </w:pPr>
      <w:r w:rsidRPr="00675F15">
        <w:rPr>
          <w:rFonts w:ascii="Arial" w:hAnsi="Arial" w:cs="Arial"/>
        </w:rPr>
        <w:t>Новороссийского сельсовета Здвинского района</w:t>
      </w:r>
    </w:p>
    <w:p w:rsidR="00A86A6A" w:rsidRPr="00675F15" w:rsidRDefault="00A86A6A" w:rsidP="00A86A6A">
      <w:pPr>
        <w:pStyle w:val="2"/>
        <w:widowControl w:val="0"/>
        <w:ind w:firstLine="0"/>
        <w:rPr>
          <w:rFonts w:ascii="Arial" w:hAnsi="Arial" w:cs="Arial"/>
          <w:bCs/>
        </w:rPr>
      </w:pPr>
      <w:r w:rsidRPr="00675F15">
        <w:rPr>
          <w:rFonts w:ascii="Arial" w:hAnsi="Arial" w:cs="Arial"/>
        </w:rPr>
        <w:t xml:space="preserve"> Новосибирской области </w:t>
      </w:r>
      <w:r w:rsidRPr="00675F15">
        <w:rPr>
          <w:rFonts w:ascii="Arial" w:hAnsi="Arial" w:cs="Arial"/>
          <w:b/>
          <w:i/>
        </w:rPr>
        <w:t xml:space="preserve">  </w:t>
      </w:r>
      <w:r w:rsidRPr="00675F15">
        <w:rPr>
          <w:rFonts w:ascii="Arial" w:hAnsi="Arial" w:cs="Arial"/>
          <w:bCs/>
        </w:rPr>
        <w:t xml:space="preserve">                                                    Т.П.Сульзбах</w:t>
      </w:r>
    </w:p>
    <w:p w:rsidR="00314C96" w:rsidRPr="00675F15" w:rsidRDefault="00314C96">
      <w:pPr>
        <w:rPr>
          <w:rFonts w:ascii="Arial" w:hAnsi="Arial" w:cs="Arial"/>
          <w:sz w:val="24"/>
          <w:szCs w:val="24"/>
        </w:rPr>
      </w:pPr>
    </w:p>
    <w:sectPr w:rsidR="00314C96" w:rsidRPr="00675F15" w:rsidSect="00FF2178">
      <w:headerReference w:type="default" r:id="rId9"/>
      <w:footerReference w:type="default" r:id="rId10"/>
      <w:headerReference w:type="first" r:id="rId11"/>
      <w:pgSz w:w="11906" w:h="16838"/>
      <w:pgMar w:top="567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76C86" w:rsidRDefault="00876C86" w:rsidP="001C52B7">
      <w:pPr>
        <w:spacing w:after="0" w:line="240" w:lineRule="auto"/>
      </w:pPr>
      <w:r>
        <w:separator/>
      </w:r>
    </w:p>
  </w:endnote>
  <w:endnote w:type="continuationSeparator" w:id="1">
    <w:p w:rsidR="00876C86" w:rsidRDefault="00876C86" w:rsidP="001C5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98A" w:rsidRDefault="00876C86">
    <w:pPr>
      <w:pStyle w:val="a5"/>
      <w:jc w:val="center"/>
    </w:pPr>
  </w:p>
  <w:p w:rsidR="005E298A" w:rsidRDefault="00876C86">
    <w:pPr>
      <w:pStyle w:val="a5"/>
      <w:jc w:val="center"/>
    </w:pPr>
  </w:p>
  <w:p w:rsidR="005E298A" w:rsidRDefault="00876C8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76C86" w:rsidRDefault="00876C86" w:rsidP="001C52B7">
      <w:pPr>
        <w:spacing w:after="0" w:line="240" w:lineRule="auto"/>
      </w:pPr>
      <w:r>
        <w:separator/>
      </w:r>
    </w:p>
  </w:footnote>
  <w:footnote w:type="continuationSeparator" w:id="1">
    <w:p w:rsidR="00876C86" w:rsidRDefault="00876C86" w:rsidP="001C52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98A" w:rsidRPr="004B73C0" w:rsidRDefault="001C52B7">
    <w:pPr>
      <w:pStyle w:val="a3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="00314C96"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675F15">
      <w:rPr>
        <w:rFonts w:ascii="Times New Roman" w:hAnsi="Times New Roman"/>
        <w:noProof/>
        <w:sz w:val="20"/>
        <w:szCs w:val="20"/>
      </w:rPr>
      <w:t>2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5E298A" w:rsidRDefault="00876C8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298A" w:rsidRPr="00D951E6" w:rsidRDefault="00876C86">
    <w:pPr>
      <w:pStyle w:val="a3"/>
      <w:jc w:val="center"/>
      <w:rPr>
        <w:rFonts w:ascii="Times New Roman" w:hAnsi="Times New Roman"/>
        <w:sz w:val="20"/>
        <w:szCs w:val="20"/>
      </w:rPr>
    </w:pPr>
  </w:p>
  <w:p w:rsidR="005E298A" w:rsidRDefault="00876C8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86A6A"/>
    <w:rsid w:val="001C52B7"/>
    <w:rsid w:val="00314C96"/>
    <w:rsid w:val="00675F15"/>
    <w:rsid w:val="00876C86"/>
    <w:rsid w:val="00A86A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2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A86A6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header"/>
    <w:basedOn w:val="a"/>
    <w:link w:val="a4"/>
    <w:uiPriority w:val="99"/>
    <w:unhideWhenUsed/>
    <w:rsid w:val="00A86A6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86A6A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A86A6A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86A6A"/>
    <w:rPr>
      <w:rFonts w:ascii="Calibri" w:eastAsia="Calibri" w:hAnsi="Calibri" w:cs="Times New Roman"/>
      <w:lang w:eastAsia="en-US"/>
    </w:rPr>
  </w:style>
  <w:style w:type="paragraph" w:styleId="2">
    <w:name w:val="Body Text Indent 2"/>
    <w:basedOn w:val="a"/>
    <w:link w:val="20"/>
    <w:uiPriority w:val="99"/>
    <w:rsid w:val="00A86A6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86A6A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rsid w:val="00A86A6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character" w:customStyle="1" w:styleId="ConsPlusNormal0">
    <w:name w:val="ConsPlusNormal Знак"/>
    <w:link w:val="ConsPlusNormal"/>
    <w:locked/>
    <w:rsid w:val="00A86A6A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01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2BDC3C8B0B7ECFD6D4A862096E93E0314674E082F8A32A404A69044E0DAF33B1ED02084B13A77iAD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1A4BACCF115888C56AB1F1920D97A3310C28773375903B3FB7233486E47F512E269A2D1FDA769DB229FE8RDgCI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2704</Words>
  <Characters>15418</Characters>
  <Application>Microsoft Office Word</Application>
  <DocSecurity>0</DocSecurity>
  <Lines>128</Lines>
  <Paragraphs>36</Paragraphs>
  <ScaleCrop>false</ScaleCrop>
  <Company>diakov.net</Company>
  <LinksUpToDate>false</LinksUpToDate>
  <CharactersWithSpaces>18086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dcterms:created xsi:type="dcterms:W3CDTF">2025-03-06T04:21:00Z</dcterms:created>
  <dcterms:modified xsi:type="dcterms:W3CDTF">2025-04-17T08:18:00Z</dcterms:modified>
</cp:coreProperties>
</file>